
<file path=[Content_Types].xml><?xml version="1.0" encoding="utf-8"?>
<Types xmlns="http://schemas.openxmlformats.org/package/2006/content-types">
  <Default Extension="bin" ContentType="application/vnd.ms-office.activeX"/>
  <Default Extension="wmf" ContentType="image/x-wmf"/>
  <Override PartName="/word/activeX/activeX3.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318" w:rsidRPr="00543318" w:rsidRDefault="00543318" w:rsidP="0054331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457700" cy="285750"/>
            <wp:effectExtent l="0" t="0" r="0" b="0"/>
            <wp:docPr id="1" name="Picture 1" descr="http://pareonline.net/prac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areonline.net/prac1.gif"/>
                    <pic:cNvPicPr>
                      <a:picLocks noChangeAspect="1" noChangeArrowheads="1"/>
                    </pic:cNvPicPr>
                  </pic:nvPicPr>
                  <pic:blipFill>
                    <a:blip r:embed="rId5"/>
                    <a:srcRect/>
                    <a:stretch>
                      <a:fillRect/>
                    </a:stretch>
                  </pic:blipFill>
                  <pic:spPr bwMode="auto">
                    <a:xfrm>
                      <a:off x="0" y="0"/>
                      <a:ext cx="4457700" cy="285750"/>
                    </a:xfrm>
                    <a:prstGeom prst="rect">
                      <a:avLst/>
                    </a:prstGeom>
                    <a:noFill/>
                    <a:ln w="9525">
                      <a:noFill/>
                      <a:miter lim="800000"/>
                      <a:headEnd/>
                      <a:tailEnd/>
                    </a:ln>
                  </pic:spPr>
                </pic:pic>
              </a:graphicData>
            </a:graphic>
          </wp:inline>
        </w:drawing>
      </w:r>
      <w:r w:rsidRPr="00543318">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4457700" cy="285750"/>
            <wp:effectExtent l="0" t="0" r="0" b="0"/>
            <wp:docPr id="2" name="Picture 2" descr="http://pareonline.net/prac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pareonline.net/prac2.gif"/>
                    <pic:cNvPicPr>
                      <a:picLocks noChangeAspect="1" noChangeArrowheads="1"/>
                    </pic:cNvPicPr>
                  </pic:nvPicPr>
                  <pic:blipFill>
                    <a:blip r:embed="rId6"/>
                    <a:srcRect/>
                    <a:stretch>
                      <a:fillRect/>
                    </a:stretch>
                  </pic:blipFill>
                  <pic:spPr bwMode="auto">
                    <a:xfrm>
                      <a:off x="0" y="0"/>
                      <a:ext cx="4457700" cy="285750"/>
                    </a:xfrm>
                    <a:prstGeom prst="rect">
                      <a:avLst/>
                    </a:prstGeom>
                    <a:noFill/>
                    <a:ln w="9525">
                      <a:noFill/>
                      <a:miter lim="800000"/>
                      <a:headEnd/>
                      <a:tailEnd/>
                    </a:ln>
                  </pic:spPr>
                </pic:pic>
              </a:graphicData>
            </a:graphic>
          </wp:inline>
        </w:drawing>
      </w:r>
      <w:r w:rsidRPr="00543318">
        <w:rPr>
          <w:rFonts w:ascii="Times New Roman" w:eastAsia="Times New Roman" w:hAnsi="Times New Roman" w:cs="Times New Roman"/>
          <w:sz w:val="24"/>
          <w:szCs w:val="24"/>
        </w:rPr>
        <w:br/>
      </w:r>
      <w:proofErr w:type="gramStart"/>
      <w:r w:rsidRPr="00543318">
        <w:rPr>
          <w:rFonts w:ascii="Century Schoolbook" w:eastAsia="Times New Roman" w:hAnsi="Century Schoolbook" w:cs="Times New Roman"/>
          <w:sz w:val="20"/>
          <w:szCs w:val="20"/>
        </w:rPr>
        <w:t>A peer-reviewed electronic journal.</w:t>
      </w:r>
      <w:proofErr w:type="gramEnd"/>
      <w:r w:rsidRPr="00543318">
        <w:rPr>
          <w:rFonts w:ascii="Century Schoolbook" w:eastAsia="Times New Roman" w:hAnsi="Century Schoolbook" w:cs="Times New Roman"/>
          <w:sz w:val="20"/>
          <w:szCs w:val="20"/>
        </w:rPr>
        <w:t xml:space="preserve"> ISSN 1531-7714 </w:t>
      </w:r>
    </w:p>
    <w:p w:rsidR="00543318" w:rsidRPr="00543318" w:rsidRDefault="00543318" w:rsidP="00543318">
      <w:pPr>
        <w:pBdr>
          <w:bottom w:val="single" w:sz="6" w:space="1" w:color="auto"/>
        </w:pBdr>
        <w:spacing w:after="0" w:line="240" w:lineRule="auto"/>
        <w:jc w:val="center"/>
        <w:rPr>
          <w:rFonts w:ascii="Arial" w:eastAsia="Times New Roman" w:hAnsi="Arial" w:cs="Arial"/>
          <w:vanish/>
          <w:sz w:val="16"/>
          <w:szCs w:val="16"/>
        </w:rPr>
      </w:pPr>
      <w:r w:rsidRPr="00543318">
        <w:rPr>
          <w:rFonts w:ascii="Arial" w:eastAsia="Times New Roman" w:hAnsi="Arial" w:cs="Arial"/>
          <w:vanish/>
          <w:sz w:val="16"/>
          <w:szCs w:val="16"/>
        </w:rPr>
        <w:t>Top of Form</w:t>
      </w:r>
    </w:p>
    <w:p w:rsidR="00543318" w:rsidRPr="00543318" w:rsidRDefault="00543318" w:rsidP="00543318">
      <w:pPr>
        <w:spacing w:after="0" w:line="240" w:lineRule="auto"/>
        <w:jc w:val="center"/>
        <w:rPr>
          <w:rFonts w:ascii="Times New Roman" w:eastAsia="Times New Roman" w:hAnsi="Times New Roman" w:cs="Times New Roman"/>
          <w:sz w:val="24"/>
          <w:szCs w:val="24"/>
        </w:rPr>
      </w:pPr>
      <w:r w:rsidRPr="00543318">
        <w:rPr>
          <w:rFonts w:ascii="Arial" w:eastAsia="Times New Roman" w:hAnsi="Arial" w:cs="Arial"/>
          <w:sz w:val="15"/>
          <w:szCs w:val="15"/>
        </w:rPr>
        <w:t xml:space="preserve">Search: </w:t>
      </w:r>
      <w:r w:rsidRPr="00543318">
        <w:rPr>
          <w:rFonts w:ascii="Arial" w:eastAsia="Times New Roman" w:hAnsi="Arial" w:cs="Arial"/>
          <w:sz w:val="15"/>
          <w:szCs w:val="15"/>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84pt;height:18pt" o:ole="">
            <v:imagedata r:id="rId7" o:title=""/>
          </v:shape>
          <w:control r:id="rId8" w:name="DefaultOcxName" w:shapeid="_x0000_i1039"/>
        </w:object>
      </w:r>
      <w:r w:rsidRPr="00543318">
        <w:rPr>
          <w:rFonts w:ascii="Arial" w:eastAsia="Times New Roman" w:hAnsi="Arial" w:cs="Arial"/>
          <w:sz w:val="15"/>
          <w:szCs w:val="15"/>
        </w:rPr>
        <w:object w:dxaOrig="225" w:dyaOrig="225">
          <v:shape id="_x0000_i1038" type="#_x0000_t75" style="width:87pt;height:18pt" o:ole="">
            <v:imagedata r:id="rId9" o:title=""/>
          </v:shape>
          <w:control r:id="rId10" w:name="DefaultOcxName1" w:shapeid="_x0000_i1038"/>
        </w:object>
      </w:r>
      <w:r w:rsidRPr="00543318">
        <w:rPr>
          <w:rFonts w:ascii="Arial" w:eastAsia="Times New Roman" w:hAnsi="Arial" w:cs="Arial"/>
          <w:sz w:val="15"/>
          <w:szCs w:val="15"/>
        </w:rPr>
        <w:object w:dxaOrig="225" w:dyaOrig="225">
          <v:shape id="_x0000_i1037" type="#_x0000_t75" style="width:23.25pt;height:22.5pt" o:ole="">
            <v:imagedata r:id="rId11" o:title=""/>
          </v:shape>
          <w:control r:id="rId12" w:name="DefaultOcxName2" w:shapeid="_x0000_i1037"/>
        </w:object>
      </w:r>
    </w:p>
    <w:p w:rsidR="00543318" w:rsidRPr="00543318" w:rsidRDefault="00543318" w:rsidP="00543318">
      <w:pPr>
        <w:pBdr>
          <w:top w:val="single" w:sz="6" w:space="1" w:color="auto"/>
        </w:pBdr>
        <w:spacing w:after="0" w:line="240" w:lineRule="auto"/>
        <w:jc w:val="center"/>
        <w:rPr>
          <w:rFonts w:ascii="Arial" w:eastAsia="Times New Roman" w:hAnsi="Arial" w:cs="Arial"/>
          <w:vanish/>
          <w:sz w:val="16"/>
          <w:szCs w:val="16"/>
        </w:rPr>
      </w:pPr>
      <w:r w:rsidRPr="00543318">
        <w:rPr>
          <w:rFonts w:ascii="Arial" w:eastAsia="Times New Roman" w:hAnsi="Arial" w:cs="Arial"/>
          <w:vanish/>
          <w:sz w:val="16"/>
          <w:szCs w:val="16"/>
        </w:rPr>
        <w:t>Bottom of Form</w:t>
      </w:r>
    </w:p>
    <w:tbl>
      <w:tblPr>
        <w:tblW w:w="8700" w:type="dxa"/>
        <w:jc w:val="center"/>
        <w:tblCellSpacing w:w="15" w:type="dxa"/>
        <w:tblCellMar>
          <w:top w:w="15" w:type="dxa"/>
          <w:left w:w="15" w:type="dxa"/>
          <w:bottom w:w="15" w:type="dxa"/>
          <w:right w:w="15" w:type="dxa"/>
        </w:tblCellMar>
        <w:tblLook w:val="04A0"/>
      </w:tblPr>
      <w:tblGrid>
        <w:gridCol w:w="8700"/>
      </w:tblGrid>
      <w:tr w:rsidR="00543318" w:rsidRPr="00543318" w:rsidTr="00543318">
        <w:trPr>
          <w:tblCellSpacing w:w="15" w:type="dxa"/>
          <w:jc w:val="center"/>
        </w:trPr>
        <w:tc>
          <w:tcPr>
            <w:tcW w:w="0" w:type="auto"/>
            <w:vAlign w:val="center"/>
            <w:hideMark/>
          </w:tcPr>
          <w:p w:rsidR="00543318" w:rsidRPr="00543318" w:rsidRDefault="00543318" w:rsidP="00543318">
            <w:pPr>
              <w:spacing w:after="0" w:line="240" w:lineRule="auto"/>
              <w:jc w:val="center"/>
              <w:rPr>
                <w:rFonts w:ascii="Arial" w:eastAsia="Times New Roman" w:hAnsi="Arial" w:cs="Arial"/>
                <w:sz w:val="20"/>
                <w:szCs w:val="20"/>
              </w:rPr>
            </w:pPr>
            <w:r w:rsidRPr="00543318">
              <w:rPr>
                <w:rFonts w:ascii="Arial" w:eastAsia="Times New Roman" w:hAnsi="Arial" w:cs="Arial"/>
                <w:sz w:val="20"/>
                <w:szCs w:val="20"/>
              </w:rPr>
              <w:t xml:space="preserve">Copyright 1994, PAREonline.net. </w:t>
            </w:r>
          </w:p>
          <w:p w:rsidR="00543318" w:rsidRPr="00543318" w:rsidRDefault="00543318" w:rsidP="00543318">
            <w:pPr>
              <w:spacing w:before="100" w:beforeAutospacing="1" w:after="100" w:afterAutospacing="1" w:line="240" w:lineRule="auto"/>
              <w:rPr>
                <w:rFonts w:ascii="Arial" w:eastAsia="Times New Roman" w:hAnsi="Arial" w:cs="Arial"/>
                <w:sz w:val="20"/>
                <w:szCs w:val="20"/>
              </w:rPr>
            </w:pPr>
            <w:r w:rsidRPr="00543318">
              <w:rPr>
                <w:rFonts w:ascii="Arial" w:eastAsia="Times New Roman" w:hAnsi="Arial" w:cs="Arial"/>
                <w:sz w:val="20"/>
                <w:szCs w:val="20"/>
              </w:rPr>
              <w:t xml:space="preserve">Permission is granted to distribute this article for nonprofit, educational purposes if it is copied in its entirety and the journal is credited. Please notify the editor if an article is to be used in a newsletter. </w:t>
            </w:r>
          </w:p>
        </w:tc>
      </w:tr>
    </w:tbl>
    <w:p w:rsidR="00543318" w:rsidRPr="00543318" w:rsidRDefault="00543318" w:rsidP="00543318">
      <w:pPr>
        <w:spacing w:after="0" w:line="240" w:lineRule="auto"/>
        <w:rPr>
          <w:rFonts w:ascii="Times New Roman" w:eastAsia="Times New Roman" w:hAnsi="Times New Roman" w:cs="Times New Roman"/>
          <w:sz w:val="24"/>
          <w:szCs w:val="24"/>
        </w:rPr>
      </w:pPr>
      <w:r w:rsidRPr="00543318">
        <w:rPr>
          <w:rFonts w:ascii="Times New Roman" w:eastAsia="Times New Roman" w:hAnsi="Times New Roman" w:cs="Times New Roman"/>
          <w:sz w:val="24"/>
          <w:szCs w:val="24"/>
        </w:rPr>
        <w:pict>
          <v:rect id="_x0000_i1027" style="width:0;height:1.5pt" o:hralign="center" o:hrstd="t" o:hr="t" fillcolor="#aca899" stroked="f"/>
        </w:pict>
      </w:r>
    </w:p>
    <w:tbl>
      <w:tblPr>
        <w:tblW w:w="4800" w:type="pct"/>
        <w:jc w:val="center"/>
        <w:tblCellSpacing w:w="15" w:type="dxa"/>
        <w:tblCellMar>
          <w:top w:w="15" w:type="dxa"/>
          <w:left w:w="15" w:type="dxa"/>
          <w:bottom w:w="15" w:type="dxa"/>
          <w:right w:w="15" w:type="dxa"/>
        </w:tblCellMar>
        <w:tblLook w:val="04A0"/>
      </w:tblPr>
      <w:tblGrid>
        <w:gridCol w:w="9072"/>
      </w:tblGrid>
      <w:tr w:rsidR="00543318" w:rsidRPr="00543318" w:rsidTr="00543318">
        <w:trPr>
          <w:tblCellSpacing w:w="15" w:type="dxa"/>
          <w:jc w:val="center"/>
        </w:trPr>
        <w:tc>
          <w:tcPr>
            <w:tcW w:w="0" w:type="auto"/>
            <w:vAlign w:val="center"/>
            <w:hideMark/>
          </w:tcPr>
          <w:p w:rsidR="00543318" w:rsidRPr="00543318" w:rsidRDefault="00543318" w:rsidP="00543318">
            <w:pPr>
              <w:spacing w:after="0" w:line="240" w:lineRule="auto"/>
              <w:rPr>
                <w:rFonts w:ascii="Times New Roman" w:eastAsia="Times New Roman" w:hAnsi="Times New Roman" w:cs="Times New Roman"/>
                <w:sz w:val="24"/>
                <w:szCs w:val="24"/>
              </w:rPr>
            </w:pPr>
            <w:r w:rsidRPr="00543318">
              <w:rPr>
                <w:rFonts w:ascii="Arial" w:eastAsia="Times New Roman" w:hAnsi="Arial" w:cs="Arial"/>
                <w:sz w:val="20"/>
                <w:szCs w:val="20"/>
              </w:rPr>
              <w:t xml:space="preserve">Potts, Bonnie (1994). Strategies for teaching critical thinking. </w:t>
            </w:r>
            <w:r w:rsidRPr="00543318">
              <w:rPr>
                <w:rFonts w:ascii="Arial" w:eastAsia="Times New Roman" w:hAnsi="Arial" w:cs="Arial"/>
                <w:i/>
                <w:iCs/>
                <w:sz w:val="20"/>
                <w:szCs w:val="20"/>
              </w:rPr>
              <w:t>Practical Assessment, Research &amp; Evaluation</w:t>
            </w:r>
            <w:r w:rsidRPr="00543318">
              <w:rPr>
                <w:rFonts w:ascii="Arial" w:eastAsia="Times New Roman" w:hAnsi="Arial" w:cs="Arial"/>
                <w:sz w:val="20"/>
                <w:szCs w:val="20"/>
              </w:rPr>
              <w:t>, 4(3). Retrieved August 19, 2009 from http://PAREonline.net/getvn.asp?v=4&amp;n=</w:t>
            </w:r>
            <w:proofErr w:type="gramStart"/>
            <w:r w:rsidRPr="00543318">
              <w:rPr>
                <w:rFonts w:ascii="Arial" w:eastAsia="Times New Roman" w:hAnsi="Arial" w:cs="Arial"/>
                <w:sz w:val="20"/>
                <w:szCs w:val="20"/>
              </w:rPr>
              <w:t>3 .</w:t>
            </w:r>
            <w:proofErr w:type="gramEnd"/>
            <w:r w:rsidRPr="00543318">
              <w:rPr>
                <w:rFonts w:ascii="Arial" w:eastAsia="Times New Roman" w:hAnsi="Arial" w:cs="Arial"/>
                <w:sz w:val="20"/>
                <w:szCs w:val="20"/>
              </w:rPr>
              <w:t xml:space="preserve"> This paper has been viewed 71,241 times since 11/13/1999.</w:t>
            </w:r>
            <w:r w:rsidRPr="00543318">
              <w:rPr>
                <w:rFonts w:ascii="Times New Roman" w:eastAsia="Times New Roman" w:hAnsi="Times New Roman" w:cs="Times New Roman"/>
                <w:sz w:val="24"/>
                <w:szCs w:val="24"/>
              </w:rPr>
              <w:t xml:space="preserve"> </w:t>
            </w:r>
          </w:p>
          <w:p w:rsidR="00543318" w:rsidRPr="00543318" w:rsidRDefault="00543318" w:rsidP="00543318">
            <w:pPr>
              <w:spacing w:before="100" w:beforeAutospacing="1" w:after="100" w:afterAutospacing="1" w:line="240" w:lineRule="auto"/>
              <w:outlineLvl w:val="1"/>
              <w:rPr>
                <w:rFonts w:ascii="Century Schoolbook" w:eastAsia="Times New Roman" w:hAnsi="Century Schoolbook" w:cs="Times New Roman"/>
                <w:b/>
                <w:bCs/>
                <w:sz w:val="36"/>
                <w:szCs w:val="36"/>
              </w:rPr>
            </w:pPr>
            <w:r w:rsidRPr="00543318">
              <w:rPr>
                <w:rFonts w:ascii="Century Schoolbook" w:eastAsia="Times New Roman" w:hAnsi="Century Schoolbook" w:cs="Times New Roman"/>
                <w:b/>
                <w:bCs/>
                <w:sz w:val="36"/>
                <w:szCs w:val="36"/>
              </w:rPr>
              <w:t>Strategies for Teaching Critical Thinking.</w:t>
            </w:r>
          </w:p>
          <w:p w:rsidR="00543318" w:rsidRPr="00543318" w:rsidRDefault="00543318" w:rsidP="00543318">
            <w:pPr>
              <w:spacing w:after="0" w:line="240" w:lineRule="auto"/>
              <w:rPr>
                <w:rFonts w:ascii="Century Schoolbook" w:eastAsia="Times New Roman" w:hAnsi="Century Schoolbook" w:cs="Times New Roman"/>
                <w:sz w:val="24"/>
                <w:szCs w:val="24"/>
              </w:rPr>
            </w:pPr>
            <w:r w:rsidRPr="00543318">
              <w:rPr>
                <w:rFonts w:ascii="Century Schoolbook" w:eastAsia="Times New Roman" w:hAnsi="Century Schoolbook" w:cs="Times New Roman"/>
                <w:i/>
                <w:iCs/>
                <w:sz w:val="24"/>
                <w:szCs w:val="24"/>
              </w:rPr>
              <w:t>Bonnie Potts, </w:t>
            </w:r>
            <w:r w:rsidRPr="00543318">
              <w:rPr>
                <w:rFonts w:ascii="Century Schoolbook" w:eastAsia="Times New Roman" w:hAnsi="Century Schoolbook" w:cs="Times New Roman"/>
                <w:i/>
                <w:iCs/>
                <w:sz w:val="24"/>
                <w:szCs w:val="24"/>
              </w:rPr>
              <w:br/>
            </w:r>
            <w:r w:rsidRPr="00543318">
              <w:rPr>
                <w:rFonts w:ascii="Century Schoolbook" w:eastAsia="Times New Roman" w:hAnsi="Century Schoolbook" w:cs="Times New Roman"/>
                <w:sz w:val="24"/>
                <w:szCs w:val="24"/>
              </w:rPr>
              <w:t xml:space="preserve">American Institutes for Research </w:t>
            </w:r>
          </w:p>
          <w:p w:rsidR="00543318" w:rsidRPr="00543318" w:rsidRDefault="00543318" w:rsidP="00543318">
            <w:pPr>
              <w:spacing w:before="100" w:beforeAutospacing="1" w:after="100" w:afterAutospacing="1" w:line="240" w:lineRule="auto"/>
              <w:rPr>
                <w:rFonts w:ascii="Century Schoolbook" w:eastAsia="Times New Roman" w:hAnsi="Century Schoolbook" w:cs="Times New Roman"/>
                <w:sz w:val="24"/>
                <w:szCs w:val="24"/>
              </w:rPr>
            </w:pPr>
            <w:r w:rsidRPr="00543318">
              <w:rPr>
                <w:rFonts w:ascii="Century Schoolbook" w:eastAsia="Times New Roman" w:hAnsi="Century Schoolbook" w:cs="Times New Roman"/>
                <w:sz w:val="24"/>
                <w:szCs w:val="24"/>
              </w:rPr>
              <w:t xml:space="preserve">Critical thinking skills figure prominently among the goals for education, whether one asks developers of curricula, educational researchers, parents, or employers. Although there are some quite diverse definitions of critical thinking, nearly all emphasize the ability and tendency to gather, evaluate, and use information effectively (Beyer, 1985). </w:t>
            </w:r>
          </w:p>
          <w:p w:rsidR="00543318" w:rsidRPr="00543318" w:rsidRDefault="00543318" w:rsidP="00543318">
            <w:pPr>
              <w:spacing w:before="100" w:beforeAutospacing="1" w:after="100" w:afterAutospacing="1" w:line="240" w:lineRule="auto"/>
              <w:rPr>
                <w:rFonts w:ascii="Century Schoolbook" w:eastAsia="Times New Roman" w:hAnsi="Century Schoolbook" w:cs="Times New Roman"/>
                <w:sz w:val="24"/>
                <w:szCs w:val="24"/>
              </w:rPr>
            </w:pPr>
            <w:r w:rsidRPr="00543318">
              <w:rPr>
                <w:rFonts w:ascii="Century Schoolbook" w:eastAsia="Times New Roman" w:hAnsi="Century Schoolbook" w:cs="Times New Roman"/>
                <w:sz w:val="24"/>
                <w:szCs w:val="24"/>
              </w:rPr>
              <w:t xml:space="preserve">In this article, we discuss skills related to critical thinking and three specific strategies for teaching these skills: 1) Building Categories, 2) Finding Problems, and 3) Enhancing the Environment. </w:t>
            </w:r>
          </w:p>
          <w:p w:rsidR="00543318" w:rsidRPr="00543318" w:rsidRDefault="00543318" w:rsidP="00543318">
            <w:pPr>
              <w:spacing w:before="100" w:beforeAutospacing="1" w:after="100" w:afterAutospacing="1" w:line="240" w:lineRule="auto"/>
              <w:rPr>
                <w:rFonts w:ascii="Century Schoolbook" w:eastAsia="Times New Roman" w:hAnsi="Century Schoolbook" w:cs="Times New Roman"/>
                <w:sz w:val="24"/>
                <w:szCs w:val="24"/>
              </w:rPr>
            </w:pPr>
            <w:r w:rsidRPr="00543318">
              <w:rPr>
                <w:rFonts w:ascii="Century Schoolbook" w:eastAsia="Times New Roman" w:hAnsi="Century Schoolbook" w:cs="Times New Roman"/>
                <w:b/>
                <w:bCs/>
                <w:sz w:val="24"/>
                <w:szCs w:val="24"/>
              </w:rPr>
              <w:t>SKILLS RELATED TO CRITICAL THINKING</w:t>
            </w:r>
            <w:r w:rsidRPr="00543318">
              <w:rPr>
                <w:rFonts w:ascii="Century Schoolbook" w:eastAsia="Times New Roman" w:hAnsi="Century Schoolbook" w:cs="Times New Roman"/>
                <w:sz w:val="24"/>
                <w:szCs w:val="24"/>
              </w:rPr>
              <w:t xml:space="preserve"> </w:t>
            </w:r>
          </w:p>
          <w:p w:rsidR="00543318" w:rsidRPr="00543318" w:rsidRDefault="00543318" w:rsidP="00543318">
            <w:pPr>
              <w:spacing w:before="100" w:beforeAutospacing="1" w:after="100" w:afterAutospacing="1" w:line="240" w:lineRule="auto"/>
              <w:rPr>
                <w:rFonts w:ascii="Century Schoolbook" w:eastAsia="Times New Roman" w:hAnsi="Century Schoolbook" w:cs="Times New Roman"/>
                <w:sz w:val="24"/>
                <w:szCs w:val="24"/>
              </w:rPr>
            </w:pPr>
            <w:r w:rsidRPr="00543318">
              <w:rPr>
                <w:rFonts w:ascii="Century Schoolbook" w:eastAsia="Times New Roman" w:hAnsi="Century Schoolbook" w:cs="Times New Roman"/>
                <w:sz w:val="24"/>
                <w:szCs w:val="24"/>
              </w:rPr>
              <w:t xml:space="preserve">Across subject areas and levels, educational research has identified several discrete skills related to an overall ability for critical thinking. These are: </w:t>
            </w:r>
          </w:p>
          <w:p w:rsidR="00543318" w:rsidRPr="00543318" w:rsidRDefault="00543318" w:rsidP="00543318">
            <w:pPr>
              <w:numPr>
                <w:ilvl w:val="0"/>
                <w:numId w:val="1"/>
              </w:numPr>
              <w:spacing w:before="100" w:beforeAutospacing="1" w:after="100" w:afterAutospacing="1" w:line="240" w:lineRule="auto"/>
              <w:rPr>
                <w:rFonts w:ascii="Century Schoolbook" w:eastAsia="Times New Roman" w:hAnsi="Century Schoolbook" w:cs="Times New Roman"/>
                <w:sz w:val="24"/>
                <w:szCs w:val="24"/>
              </w:rPr>
            </w:pPr>
            <w:r w:rsidRPr="00543318">
              <w:rPr>
                <w:rFonts w:ascii="Century Schoolbook" w:eastAsia="Times New Roman" w:hAnsi="Century Schoolbook" w:cs="Times New Roman"/>
                <w:sz w:val="24"/>
                <w:szCs w:val="24"/>
              </w:rPr>
              <w:t>Finding analogies and other kinds of relationships between pieces of information</w:t>
            </w:r>
          </w:p>
          <w:p w:rsidR="00543318" w:rsidRPr="00543318" w:rsidRDefault="00543318" w:rsidP="00543318">
            <w:pPr>
              <w:numPr>
                <w:ilvl w:val="0"/>
                <w:numId w:val="1"/>
              </w:numPr>
              <w:spacing w:before="100" w:beforeAutospacing="1" w:after="100" w:afterAutospacing="1" w:line="240" w:lineRule="auto"/>
              <w:rPr>
                <w:rFonts w:ascii="Century Schoolbook" w:eastAsia="Times New Roman" w:hAnsi="Century Schoolbook" w:cs="Times New Roman"/>
                <w:sz w:val="24"/>
                <w:szCs w:val="24"/>
              </w:rPr>
            </w:pPr>
            <w:r w:rsidRPr="00543318">
              <w:rPr>
                <w:rFonts w:ascii="Century Schoolbook" w:eastAsia="Times New Roman" w:hAnsi="Century Schoolbook" w:cs="Times New Roman"/>
                <w:sz w:val="24"/>
                <w:szCs w:val="24"/>
              </w:rPr>
              <w:t>Determining the relevance and validity of information that could be used for structuring and solving problems</w:t>
            </w:r>
          </w:p>
          <w:p w:rsidR="00543318" w:rsidRPr="00543318" w:rsidRDefault="00543318" w:rsidP="00543318">
            <w:pPr>
              <w:numPr>
                <w:ilvl w:val="0"/>
                <w:numId w:val="1"/>
              </w:numPr>
              <w:spacing w:before="100" w:beforeAutospacing="1" w:after="100" w:afterAutospacing="1" w:line="240" w:lineRule="auto"/>
              <w:rPr>
                <w:rFonts w:ascii="Century Schoolbook" w:eastAsia="Times New Roman" w:hAnsi="Century Schoolbook" w:cs="Times New Roman"/>
                <w:sz w:val="24"/>
                <w:szCs w:val="24"/>
              </w:rPr>
            </w:pPr>
            <w:r w:rsidRPr="00543318">
              <w:rPr>
                <w:rFonts w:ascii="Century Schoolbook" w:eastAsia="Times New Roman" w:hAnsi="Century Schoolbook" w:cs="Times New Roman"/>
                <w:sz w:val="24"/>
                <w:szCs w:val="24"/>
              </w:rPr>
              <w:t xml:space="preserve">Finding and evaluating solutions or alternative ways of treating problems </w:t>
            </w:r>
          </w:p>
          <w:p w:rsidR="00543318" w:rsidRPr="00543318" w:rsidRDefault="00543318" w:rsidP="00543318">
            <w:pPr>
              <w:spacing w:before="100" w:beforeAutospacing="1" w:after="100" w:afterAutospacing="1" w:line="240" w:lineRule="auto"/>
              <w:rPr>
                <w:rFonts w:ascii="Century Schoolbook" w:eastAsia="Times New Roman" w:hAnsi="Century Schoolbook" w:cs="Times New Roman"/>
                <w:sz w:val="24"/>
                <w:szCs w:val="24"/>
              </w:rPr>
            </w:pPr>
            <w:r w:rsidRPr="00543318">
              <w:rPr>
                <w:rFonts w:ascii="Century Schoolbook" w:eastAsia="Times New Roman" w:hAnsi="Century Schoolbook" w:cs="Times New Roman"/>
                <w:sz w:val="24"/>
                <w:szCs w:val="24"/>
              </w:rPr>
              <w:t xml:space="preserve">Just as there are similarities among the definitions of critical thinking across subject areas and levels, there are several generally recognized "hallmarks" of teaching for critical thinking (see, for example, Beyer, 1985; Costa, 1985). These </w:t>
            </w:r>
            <w:r w:rsidRPr="00543318">
              <w:rPr>
                <w:rFonts w:ascii="Century Schoolbook" w:eastAsia="Times New Roman" w:hAnsi="Century Schoolbook" w:cs="Times New Roman"/>
                <w:sz w:val="24"/>
                <w:szCs w:val="24"/>
              </w:rPr>
              <w:lastRenderedPageBreak/>
              <w:t xml:space="preserve">include: </w:t>
            </w:r>
          </w:p>
          <w:p w:rsidR="00543318" w:rsidRPr="00543318" w:rsidRDefault="00543318" w:rsidP="00543318">
            <w:pPr>
              <w:numPr>
                <w:ilvl w:val="0"/>
                <w:numId w:val="2"/>
              </w:numPr>
              <w:spacing w:before="100" w:beforeAutospacing="1" w:after="100" w:afterAutospacing="1" w:line="240" w:lineRule="auto"/>
              <w:rPr>
                <w:rFonts w:ascii="Century Schoolbook" w:eastAsia="Times New Roman" w:hAnsi="Century Schoolbook" w:cs="Times New Roman"/>
                <w:sz w:val="24"/>
                <w:szCs w:val="24"/>
              </w:rPr>
            </w:pPr>
            <w:r w:rsidRPr="00543318">
              <w:rPr>
                <w:rFonts w:ascii="Century Schoolbook" w:eastAsia="Times New Roman" w:hAnsi="Century Schoolbook" w:cs="Times New Roman"/>
                <w:sz w:val="24"/>
                <w:szCs w:val="24"/>
              </w:rPr>
              <w:t>Promoting interaction among students as they learn - Learning in a group setting often helps each member achieve more.</w:t>
            </w:r>
          </w:p>
          <w:p w:rsidR="00543318" w:rsidRPr="00543318" w:rsidRDefault="00543318" w:rsidP="00543318">
            <w:pPr>
              <w:numPr>
                <w:ilvl w:val="0"/>
                <w:numId w:val="2"/>
              </w:numPr>
              <w:spacing w:before="100" w:beforeAutospacing="1" w:after="100" w:afterAutospacing="1" w:line="240" w:lineRule="auto"/>
              <w:rPr>
                <w:rFonts w:ascii="Century Schoolbook" w:eastAsia="Times New Roman" w:hAnsi="Century Schoolbook" w:cs="Times New Roman"/>
                <w:sz w:val="24"/>
                <w:szCs w:val="24"/>
              </w:rPr>
            </w:pPr>
            <w:r w:rsidRPr="00543318">
              <w:rPr>
                <w:rFonts w:ascii="Century Schoolbook" w:eastAsia="Times New Roman" w:hAnsi="Century Schoolbook" w:cs="Times New Roman"/>
                <w:sz w:val="24"/>
                <w:szCs w:val="24"/>
              </w:rPr>
              <w:t>Asking open-ended questions that do not assume the "one right answer" - Critical thinking is often exemplified best when the problems are inherently ill-defined and do not have a "right" answer. Open-ended questions also encourage students to think and respond creatively, without fear of giving the "wrong" answer.</w:t>
            </w:r>
          </w:p>
          <w:p w:rsidR="00543318" w:rsidRPr="00543318" w:rsidRDefault="00543318" w:rsidP="00543318">
            <w:pPr>
              <w:numPr>
                <w:ilvl w:val="0"/>
                <w:numId w:val="2"/>
              </w:numPr>
              <w:spacing w:before="100" w:beforeAutospacing="1" w:after="100" w:afterAutospacing="1" w:line="240" w:lineRule="auto"/>
              <w:rPr>
                <w:rFonts w:ascii="Century Schoolbook" w:eastAsia="Times New Roman" w:hAnsi="Century Schoolbook" w:cs="Times New Roman"/>
                <w:sz w:val="24"/>
                <w:szCs w:val="24"/>
              </w:rPr>
            </w:pPr>
            <w:r w:rsidRPr="00543318">
              <w:rPr>
                <w:rFonts w:ascii="Century Schoolbook" w:eastAsia="Times New Roman" w:hAnsi="Century Schoolbook" w:cs="Times New Roman"/>
                <w:sz w:val="24"/>
                <w:szCs w:val="24"/>
              </w:rPr>
              <w:t>Allowing sufficient time for students to reflect on the questions asked or problems posed - Critical thinking seldom involves snap judgments; therefore, posing questions and allowing adequate time before soliciting responses helps students understand that they are expected to deliberate and to ponder, and that the immediate response is not always the best response.</w:t>
            </w:r>
          </w:p>
          <w:p w:rsidR="00543318" w:rsidRPr="00543318" w:rsidRDefault="00543318" w:rsidP="00543318">
            <w:pPr>
              <w:numPr>
                <w:ilvl w:val="0"/>
                <w:numId w:val="2"/>
              </w:numPr>
              <w:spacing w:before="100" w:beforeAutospacing="1" w:after="100" w:afterAutospacing="1" w:line="240" w:lineRule="auto"/>
              <w:rPr>
                <w:rFonts w:ascii="Century Schoolbook" w:eastAsia="Times New Roman" w:hAnsi="Century Schoolbook" w:cs="Times New Roman"/>
                <w:sz w:val="24"/>
                <w:szCs w:val="24"/>
              </w:rPr>
            </w:pPr>
            <w:r w:rsidRPr="00543318">
              <w:rPr>
                <w:rFonts w:ascii="Century Schoolbook" w:eastAsia="Times New Roman" w:hAnsi="Century Schoolbook" w:cs="Times New Roman"/>
                <w:sz w:val="24"/>
                <w:szCs w:val="24"/>
              </w:rPr>
              <w:t xml:space="preserve">Teaching for transfer - The skills for critical thinking should "travel well." They generally will do so only if teachers provide opportunities for students to see how a newly acquired skill can apply to other situations and to the student's own experience. </w:t>
            </w:r>
          </w:p>
          <w:p w:rsidR="00543318" w:rsidRPr="00543318" w:rsidRDefault="00543318" w:rsidP="00543318">
            <w:pPr>
              <w:spacing w:before="100" w:beforeAutospacing="1" w:after="100" w:afterAutospacing="1" w:line="240" w:lineRule="auto"/>
              <w:rPr>
                <w:rFonts w:ascii="Century Schoolbook" w:eastAsia="Times New Roman" w:hAnsi="Century Schoolbook" w:cs="Times New Roman"/>
                <w:sz w:val="24"/>
                <w:szCs w:val="24"/>
              </w:rPr>
            </w:pPr>
            <w:r w:rsidRPr="00543318">
              <w:rPr>
                <w:rFonts w:ascii="Century Schoolbook" w:eastAsia="Times New Roman" w:hAnsi="Century Schoolbook" w:cs="Times New Roman"/>
                <w:sz w:val="24"/>
                <w:szCs w:val="24"/>
              </w:rPr>
              <w:t xml:space="preserve">BUILDING CATEGORIES (after </w:t>
            </w:r>
            <w:proofErr w:type="spellStart"/>
            <w:r w:rsidRPr="00543318">
              <w:rPr>
                <w:rFonts w:ascii="Century Schoolbook" w:eastAsia="Times New Roman" w:hAnsi="Century Schoolbook" w:cs="Times New Roman"/>
                <w:sz w:val="24"/>
                <w:szCs w:val="24"/>
              </w:rPr>
              <w:t>Seiger</w:t>
            </w:r>
            <w:proofErr w:type="spellEnd"/>
            <w:r w:rsidRPr="00543318">
              <w:rPr>
                <w:rFonts w:ascii="Century Schoolbook" w:eastAsia="Times New Roman" w:hAnsi="Century Schoolbook" w:cs="Times New Roman"/>
                <w:sz w:val="24"/>
                <w:szCs w:val="24"/>
              </w:rPr>
              <w:t xml:space="preserve">-Ehrenberg, 1985) </w:t>
            </w:r>
          </w:p>
          <w:p w:rsidR="00543318" w:rsidRPr="00543318" w:rsidRDefault="00543318" w:rsidP="00543318">
            <w:pPr>
              <w:spacing w:before="100" w:beforeAutospacing="1" w:after="100" w:afterAutospacing="1" w:line="240" w:lineRule="auto"/>
              <w:rPr>
                <w:rFonts w:ascii="Century Schoolbook" w:eastAsia="Times New Roman" w:hAnsi="Century Schoolbook" w:cs="Times New Roman"/>
                <w:sz w:val="24"/>
                <w:szCs w:val="24"/>
              </w:rPr>
            </w:pPr>
            <w:r w:rsidRPr="00543318">
              <w:rPr>
                <w:rFonts w:ascii="Century Schoolbook" w:eastAsia="Times New Roman" w:hAnsi="Century Schoolbook" w:cs="Times New Roman"/>
                <w:sz w:val="24"/>
                <w:szCs w:val="24"/>
              </w:rPr>
              <w:t xml:space="preserve">Students often are given (and asked to memorize) explicit rules for classifying information. For example, there is a set of criteria for determining whether a word is being used as a noun or as a verb. The Building Categories strategy, however, is an inductive reasoning tool that helps students categorize information by discovering the rules rather than merely memorizing them. Such active learning typically results in better understanding and better retention of the concepts and related material than is possible with a more directive teaching method. </w:t>
            </w:r>
          </w:p>
          <w:p w:rsidR="00543318" w:rsidRPr="00543318" w:rsidRDefault="00543318" w:rsidP="00543318">
            <w:pPr>
              <w:spacing w:before="100" w:beforeAutospacing="1" w:after="100" w:afterAutospacing="1" w:line="240" w:lineRule="auto"/>
              <w:rPr>
                <w:rFonts w:ascii="Century Schoolbook" w:eastAsia="Times New Roman" w:hAnsi="Century Schoolbook" w:cs="Times New Roman"/>
                <w:sz w:val="24"/>
                <w:szCs w:val="24"/>
              </w:rPr>
            </w:pPr>
            <w:r w:rsidRPr="00543318">
              <w:rPr>
                <w:rFonts w:ascii="Century Schoolbook" w:eastAsia="Times New Roman" w:hAnsi="Century Schoolbook" w:cs="Times New Roman"/>
                <w:sz w:val="24"/>
                <w:szCs w:val="24"/>
              </w:rPr>
              <w:t xml:space="preserve">Example: Distinguishing animals from plants. Students work in two groups (Animal Group and Plant Group). Worksheets prepared in advance ask for information about life span, energy sources, motility, anatomy, etc., of several different animals and plants. Once the information is collected, it is compiled into large wall charts (one for Animals, one for Plants). </w:t>
            </w:r>
          </w:p>
          <w:p w:rsidR="00543318" w:rsidRPr="00543318" w:rsidRDefault="00543318" w:rsidP="00543318">
            <w:pPr>
              <w:spacing w:before="100" w:beforeAutospacing="1" w:after="100" w:afterAutospacing="1" w:line="240" w:lineRule="auto"/>
              <w:rPr>
                <w:rFonts w:ascii="Century Schoolbook" w:eastAsia="Times New Roman" w:hAnsi="Century Schoolbook" w:cs="Times New Roman"/>
                <w:sz w:val="24"/>
                <w:szCs w:val="24"/>
              </w:rPr>
            </w:pPr>
            <w:r w:rsidRPr="00543318">
              <w:rPr>
                <w:rFonts w:ascii="Century Schoolbook" w:eastAsia="Times New Roman" w:hAnsi="Century Schoolbook" w:cs="Times New Roman"/>
                <w:sz w:val="24"/>
                <w:szCs w:val="24"/>
              </w:rPr>
              <w:t xml:space="preserve">At this point, some questions can be posed to both groups at once: What are the similarities among the members of each group? What are the differences between the two groups? How could the following statement be completed: "An animal is different from a plant because..." The teacher provides appropriate feedback throughout, using open-ended questions to help students identify inadequate or inaccurate categorization rules. </w:t>
            </w:r>
          </w:p>
          <w:p w:rsidR="00543318" w:rsidRPr="00543318" w:rsidRDefault="00543318" w:rsidP="00543318">
            <w:pPr>
              <w:spacing w:before="100" w:beforeAutospacing="1" w:after="100" w:afterAutospacing="1" w:line="240" w:lineRule="auto"/>
              <w:rPr>
                <w:rFonts w:ascii="Century Schoolbook" w:eastAsia="Times New Roman" w:hAnsi="Century Schoolbook" w:cs="Times New Roman"/>
                <w:sz w:val="24"/>
                <w:szCs w:val="24"/>
              </w:rPr>
            </w:pPr>
            <w:r w:rsidRPr="00543318">
              <w:rPr>
                <w:rFonts w:ascii="Century Schoolbook" w:eastAsia="Times New Roman" w:hAnsi="Century Schoolbook" w:cs="Times New Roman"/>
                <w:sz w:val="24"/>
                <w:szCs w:val="24"/>
              </w:rPr>
              <w:lastRenderedPageBreak/>
              <w:t xml:space="preserve">Finally, the students are allowed to test the </w:t>
            </w:r>
            <w:proofErr w:type="spellStart"/>
            <w:r w:rsidRPr="00543318">
              <w:rPr>
                <w:rFonts w:ascii="Century Schoolbook" w:eastAsia="Times New Roman" w:hAnsi="Century Schoolbook" w:cs="Times New Roman"/>
                <w:sz w:val="24"/>
                <w:szCs w:val="24"/>
              </w:rPr>
              <w:t>generalizability</w:t>
            </w:r>
            <w:proofErr w:type="spellEnd"/>
            <w:r w:rsidRPr="00543318">
              <w:rPr>
                <w:rFonts w:ascii="Century Schoolbook" w:eastAsia="Times New Roman" w:hAnsi="Century Schoolbook" w:cs="Times New Roman"/>
                <w:sz w:val="24"/>
                <w:szCs w:val="24"/>
              </w:rPr>
              <w:t xml:space="preserve"> of their proposed rules by looking at new instances and placing them in the appropriate category. </w:t>
            </w:r>
          </w:p>
          <w:p w:rsidR="00543318" w:rsidRPr="00543318" w:rsidRDefault="00543318" w:rsidP="00543318">
            <w:pPr>
              <w:spacing w:before="100" w:beforeAutospacing="1" w:after="100" w:afterAutospacing="1" w:line="240" w:lineRule="auto"/>
              <w:rPr>
                <w:rFonts w:ascii="Century Schoolbook" w:eastAsia="Times New Roman" w:hAnsi="Century Schoolbook" w:cs="Times New Roman"/>
                <w:sz w:val="24"/>
                <w:szCs w:val="24"/>
              </w:rPr>
            </w:pPr>
            <w:r w:rsidRPr="00543318">
              <w:rPr>
                <w:rFonts w:ascii="Century Schoolbook" w:eastAsia="Times New Roman" w:hAnsi="Century Schoolbook" w:cs="Times New Roman"/>
                <w:sz w:val="24"/>
                <w:szCs w:val="24"/>
              </w:rPr>
              <w:t xml:space="preserve">The strategy is described here in the context of a science problem, but can work equally well in other disciplines and with more abstract categories. For example, students in Social Studies can learn the rules for "discoveries" versus "inventions," and students of jurisprudence can discover the differences between "felonies" and "misdemeanors." </w:t>
            </w:r>
          </w:p>
          <w:p w:rsidR="00543318" w:rsidRPr="00543318" w:rsidRDefault="00543318" w:rsidP="00543318">
            <w:pPr>
              <w:spacing w:before="100" w:beforeAutospacing="1" w:after="100" w:afterAutospacing="1" w:line="240" w:lineRule="auto"/>
              <w:rPr>
                <w:rFonts w:ascii="Century Schoolbook" w:eastAsia="Times New Roman" w:hAnsi="Century Schoolbook" w:cs="Times New Roman"/>
                <w:sz w:val="24"/>
                <w:szCs w:val="24"/>
              </w:rPr>
            </w:pPr>
            <w:r w:rsidRPr="00543318">
              <w:rPr>
                <w:rFonts w:ascii="Century Schoolbook" w:eastAsia="Times New Roman" w:hAnsi="Century Schoolbook" w:cs="Times New Roman"/>
                <w:b/>
                <w:bCs/>
                <w:sz w:val="24"/>
                <w:szCs w:val="24"/>
              </w:rPr>
              <w:t>FINDING PROBLEMS</w:t>
            </w:r>
            <w:r w:rsidRPr="00543318">
              <w:rPr>
                <w:rFonts w:ascii="Century Schoolbook" w:eastAsia="Times New Roman" w:hAnsi="Century Schoolbook" w:cs="Times New Roman"/>
                <w:sz w:val="24"/>
                <w:szCs w:val="24"/>
              </w:rPr>
              <w:t xml:space="preserve"> </w:t>
            </w:r>
          </w:p>
          <w:p w:rsidR="00543318" w:rsidRPr="00543318" w:rsidRDefault="00543318" w:rsidP="00543318">
            <w:pPr>
              <w:spacing w:before="100" w:beforeAutospacing="1" w:after="100" w:afterAutospacing="1" w:line="240" w:lineRule="auto"/>
              <w:rPr>
                <w:rFonts w:ascii="Century Schoolbook" w:eastAsia="Times New Roman" w:hAnsi="Century Schoolbook" w:cs="Times New Roman"/>
                <w:sz w:val="24"/>
                <w:szCs w:val="24"/>
              </w:rPr>
            </w:pPr>
            <w:r w:rsidRPr="00543318">
              <w:rPr>
                <w:rFonts w:ascii="Century Schoolbook" w:eastAsia="Times New Roman" w:hAnsi="Century Schoolbook" w:cs="Times New Roman"/>
                <w:sz w:val="24"/>
                <w:szCs w:val="24"/>
              </w:rPr>
              <w:t xml:space="preserve">Many students and teachers alike have lamented that the format of problems in the classroom (particularly in math and science) bears little resemblance to the way problems look in real life. In fact, one of the most important practical thinking skills one can acquire </w:t>
            </w:r>
            <w:proofErr w:type="gramStart"/>
            <w:r w:rsidRPr="00543318">
              <w:rPr>
                <w:rFonts w:ascii="Century Schoolbook" w:eastAsia="Times New Roman" w:hAnsi="Century Schoolbook" w:cs="Times New Roman"/>
                <w:sz w:val="24"/>
                <w:szCs w:val="24"/>
              </w:rPr>
              <w:t>is knowing</w:t>
            </w:r>
            <w:proofErr w:type="gramEnd"/>
            <w:r w:rsidRPr="00543318">
              <w:rPr>
                <w:rFonts w:ascii="Century Schoolbook" w:eastAsia="Times New Roman" w:hAnsi="Century Schoolbook" w:cs="Times New Roman"/>
                <w:sz w:val="24"/>
                <w:szCs w:val="24"/>
              </w:rPr>
              <w:t xml:space="preserve"> how to identify a problem. The Finding Problems strategy is a way of framing tasks so that students use skills similar to those needed for the ill-defined problems they will encounter in life. Tasks developed with this strategy are sufficiently defined as to be solvable, but do not state explicitly which variable or aspect of the problem will constitute or enable a solution. Consider the following physics problem (adapted from </w:t>
            </w:r>
            <w:proofErr w:type="spellStart"/>
            <w:r w:rsidRPr="00543318">
              <w:rPr>
                <w:rFonts w:ascii="Century Schoolbook" w:eastAsia="Times New Roman" w:hAnsi="Century Schoolbook" w:cs="Times New Roman"/>
                <w:sz w:val="24"/>
                <w:szCs w:val="24"/>
              </w:rPr>
              <w:t>Harvie</w:t>
            </w:r>
            <w:proofErr w:type="spellEnd"/>
            <w:r w:rsidRPr="00543318">
              <w:rPr>
                <w:rFonts w:ascii="Century Schoolbook" w:eastAsia="Times New Roman" w:hAnsi="Century Schoolbook" w:cs="Times New Roman"/>
                <w:sz w:val="24"/>
                <w:szCs w:val="24"/>
              </w:rPr>
              <w:t xml:space="preserve">, 1987): </w:t>
            </w:r>
          </w:p>
          <w:p w:rsidR="00543318" w:rsidRPr="00543318" w:rsidRDefault="00543318" w:rsidP="00543318">
            <w:pPr>
              <w:spacing w:before="100" w:beforeAutospacing="1" w:after="100" w:afterAutospacing="1" w:line="240" w:lineRule="auto"/>
              <w:rPr>
                <w:rFonts w:ascii="Century Schoolbook" w:eastAsia="Times New Roman" w:hAnsi="Century Schoolbook" w:cs="Times New Roman"/>
                <w:sz w:val="24"/>
                <w:szCs w:val="24"/>
              </w:rPr>
            </w:pPr>
            <w:r w:rsidRPr="00543318">
              <w:rPr>
                <w:rFonts w:ascii="Century Schoolbook" w:eastAsia="Times New Roman" w:hAnsi="Century Schoolbook" w:cs="Times New Roman"/>
                <w:sz w:val="24"/>
                <w:szCs w:val="24"/>
              </w:rPr>
              <w:t xml:space="preserve">"Brian, all 72 kg of him, bungee-jumps from a 100-m tower toward the river below. He falls 35 m before the bungee cord starts to stretch. This cord can stretch 40% of its length and has a breaking strength of 7000 N. Will this become a "free fall" for Brian, or will he "bounce back"? </w:t>
            </w:r>
          </w:p>
          <w:p w:rsidR="00543318" w:rsidRPr="00543318" w:rsidRDefault="00543318" w:rsidP="00543318">
            <w:pPr>
              <w:spacing w:before="100" w:beforeAutospacing="1" w:after="100" w:afterAutospacing="1" w:line="240" w:lineRule="auto"/>
              <w:rPr>
                <w:rFonts w:ascii="Century Schoolbook" w:eastAsia="Times New Roman" w:hAnsi="Century Schoolbook" w:cs="Times New Roman"/>
                <w:sz w:val="24"/>
                <w:szCs w:val="24"/>
              </w:rPr>
            </w:pPr>
            <w:r w:rsidRPr="00543318">
              <w:rPr>
                <w:rFonts w:ascii="Century Schoolbook" w:eastAsia="Times New Roman" w:hAnsi="Century Schoolbook" w:cs="Times New Roman"/>
                <w:sz w:val="24"/>
                <w:szCs w:val="24"/>
              </w:rPr>
              <w:t xml:space="preserve">Consider an alternate version of this problem, in which the last sentence is replaced by the following: "When the bungee cord has reached its maximum length, does the tension exceed the cord's breaking strength?" Several aspects of the first version make it more effective for encouraging students to think rather than simply to look for the appropriate quantities to "plug in" to a formula. </w:t>
            </w:r>
          </w:p>
          <w:p w:rsidR="00543318" w:rsidRPr="00543318" w:rsidRDefault="00543318" w:rsidP="00543318">
            <w:pPr>
              <w:spacing w:before="100" w:beforeAutospacing="1" w:after="100" w:afterAutospacing="1" w:line="240" w:lineRule="auto"/>
              <w:rPr>
                <w:rFonts w:ascii="Century Schoolbook" w:eastAsia="Times New Roman" w:hAnsi="Century Schoolbook" w:cs="Times New Roman"/>
                <w:sz w:val="24"/>
                <w:szCs w:val="24"/>
              </w:rPr>
            </w:pPr>
            <w:r w:rsidRPr="00543318">
              <w:rPr>
                <w:rFonts w:ascii="Century Schoolbook" w:eastAsia="Times New Roman" w:hAnsi="Century Schoolbook" w:cs="Times New Roman"/>
                <w:sz w:val="24"/>
                <w:szCs w:val="24"/>
              </w:rPr>
              <w:t xml:space="preserve">The first version does not specify what must be calculated; therefore, it requires students to decide for themselves just what the problem is and how their knowledge of Physics can be used to solve it. Teachers can help students learn to solve problems of this type by first providing them with a set of general questions, such as: How are the objects and situations in the problem similar to any objects or situations that were discussed in Physics? Which variables are already in Physics terms and which can be converted to Physics terms? Are all of the pieces of information in the problem relevant to its solution? </w:t>
            </w:r>
          </w:p>
          <w:p w:rsidR="00543318" w:rsidRPr="00543318" w:rsidRDefault="00543318" w:rsidP="00543318">
            <w:pPr>
              <w:spacing w:before="100" w:beforeAutospacing="1" w:after="100" w:afterAutospacing="1" w:line="240" w:lineRule="auto"/>
              <w:rPr>
                <w:rFonts w:ascii="Century Schoolbook" w:eastAsia="Times New Roman" w:hAnsi="Century Schoolbook" w:cs="Times New Roman"/>
                <w:sz w:val="24"/>
                <w:szCs w:val="24"/>
              </w:rPr>
            </w:pPr>
            <w:r w:rsidRPr="00543318">
              <w:rPr>
                <w:rFonts w:ascii="Century Schoolbook" w:eastAsia="Times New Roman" w:hAnsi="Century Schoolbook" w:cs="Times New Roman"/>
                <w:sz w:val="24"/>
                <w:szCs w:val="24"/>
              </w:rPr>
              <w:t xml:space="preserve">Problem-finding is an excellent group activity, particularly if two or more groups work on the same task independently and then come together to compare </w:t>
            </w:r>
            <w:r w:rsidRPr="00543318">
              <w:rPr>
                <w:rFonts w:ascii="Century Schoolbook" w:eastAsia="Times New Roman" w:hAnsi="Century Schoolbook" w:cs="Times New Roman"/>
                <w:sz w:val="24"/>
                <w:szCs w:val="24"/>
              </w:rPr>
              <w:lastRenderedPageBreak/>
              <w:t xml:space="preserve">strategies. In this way, each student has the benefit of exposure to several ways of solving the problem. </w:t>
            </w:r>
          </w:p>
          <w:p w:rsidR="00543318" w:rsidRPr="00543318" w:rsidRDefault="00543318" w:rsidP="00543318">
            <w:pPr>
              <w:spacing w:before="100" w:beforeAutospacing="1" w:after="100" w:afterAutospacing="1" w:line="240" w:lineRule="auto"/>
              <w:rPr>
                <w:rFonts w:ascii="Century Schoolbook" w:eastAsia="Times New Roman" w:hAnsi="Century Schoolbook" w:cs="Times New Roman"/>
                <w:sz w:val="24"/>
                <w:szCs w:val="24"/>
              </w:rPr>
            </w:pPr>
            <w:r w:rsidRPr="00543318">
              <w:rPr>
                <w:rFonts w:ascii="Century Schoolbook" w:eastAsia="Times New Roman" w:hAnsi="Century Schoolbook" w:cs="Times New Roman"/>
                <w:sz w:val="24"/>
                <w:szCs w:val="24"/>
              </w:rPr>
              <w:t xml:space="preserve">ENHANCING THE ENVIRONMENT (after Keefe &amp; Walberg, 1992) </w:t>
            </w:r>
          </w:p>
          <w:p w:rsidR="00543318" w:rsidRPr="00543318" w:rsidRDefault="00543318" w:rsidP="00543318">
            <w:pPr>
              <w:spacing w:before="100" w:beforeAutospacing="1" w:after="100" w:afterAutospacing="1" w:line="240" w:lineRule="auto"/>
              <w:rPr>
                <w:rFonts w:ascii="Century Schoolbook" w:eastAsia="Times New Roman" w:hAnsi="Century Schoolbook" w:cs="Times New Roman"/>
                <w:sz w:val="24"/>
                <w:szCs w:val="24"/>
              </w:rPr>
            </w:pPr>
            <w:r w:rsidRPr="00543318">
              <w:rPr>
                <w:rFonts w:ascii="Century Schoolbook" w:eastAsia="Times New Roman" w:hAnsi="Century Schoolbook" w:cs="Times New Roman"/>
                <w:sz w:val="24"/>
                <w:szCs w:val="24"/>
              </w:rPr>
              <w:t xml:space="preserve">Critical thinking in the classroom is facilitated by a physical and intellectual environment that encourages a spirit of discovery. Regarding the physical layout of the classroom, two suggestions can be offered. First, if seating is arranged so that students share the "stage" with the teacher and all can see and interact with each other, this helps to minimize the passive, receptive mode many students adopt when all are facing the teacher. Second, visual aids in the classroom can encourage ongoing attention to critical thought processes, e.g., posting signs that say, "Why do I think that?" "Is it fact or opinion?" "How are these two things alike?" "What would happen if...?" Suggestions below each question can remind students how they should go about answering them. Most importantly, as the students move through the curriculum in a given subject, their attention can be directed periodically to the signs as appropriate. In this way, the signs emphasize the idea of transfer by showing that many of the same thinking strategies and skills apply to different topics and problems. </w:t>
            </w:r>
          </w:p>
          <w:p w:rsidR="00543318" w:rsidRPr="00543318" w:rsidRDefault="00543318" w:rsidP="00543318">
            <w:pPr>
              <w:spacing w:before="100" w:beforeAutospacing="1" w:after="100" w:afterAutospacing="1" w:line="240" w:lineRule="auto"/>
              <w:rPr>
                <w:rFonts w:ascii="Century Schoolbook" w:eastAsia="Times New Roman" w:hAnsi="Century Schoolbook" w:cs="Times New Roman"/>
                <w:sz w:val="24"/>
                <w:szCs w:val="24"/>
              </w:rPr>
            </w:pPr>
            <w:r w:rsidRPr="00543318">
              <w:rPr>
                <w:rFonts w:ascii="Century Schoolbook" w:eastAsia="Times New Roman" w:hAnsi="Century Schoolbook" w:cs="Times New Roman"/>
                <w:b/>
                <w:bCs/>
                <w:sz w:val="24"/>
                <w:szCs w:val="24"/>
              </w:rPr>
              <w:t>REFERENCES AND RECOMMENDED READING</w:t>
            </w:r>
            <w:r w:rsidRPr="00543318">
              <w:rPr>
                <w:rFonts w:ascii="Century Schoolbook" w:eastAsia="Times New Roman" w:hAnsi="Century Schoolbook" w:cs="Times New Roman"/>
                <w:sz w:val="24"/>
                <w:szCs w:val="24"/>
              </w:rPr>
              <w:t xml:space="preserve"> </w:t>
            </w:r>
          </w:p>
          <w:p w:rsidR="00543318" w:rsidRPr="00543318" w:rsidRDefault="00543318" w:rsidP="00543318">
            <w:pPr>
              <w:spacing w:before="100" w:beforeAutospacing="1" w:after="100" w:afterAutospacing="1" w:line="240" w:lineRule="auto"/>
              <w:rPr>
                <w:rFonts w:ascii="Century Schoolbook" w:eastAsia="Times New Roman" w:hAnsi="Century Schoolbook" w:cs="Times New Roman"/>
                <w:sz w:val="24"/>
                <w:szCs w:val="24"/>
              </w:rPr>
            </w:pPr>
            <w:r w:rsidRPr="00543318">
              <w:rPr>
                <w:rFonts w:ascii="Century Schoolbook" w:eastAsia="Times New Roman" w:hAnsi="Century Schoolbook" w:cs="Times New Roman"/>
                <w:sz w:val="24"/>
                <w:szCs w:val="24"/>
              </w:rPr>
              <w:t xml:space="preserve">Beyer, B.K. (1985). Critical thinking: What is it? "Social Education," 49, 270-276. </w:t>
            </w:r>
          </w:p>
          <w:p w:rsidR="00543318" w:rsidRPr="00543318" w:rsidRDefault="00543318" w:rsidP="00543318">
            <w:pPr>
              <w:spacing w:before="100" w:beforeAutospacing="1" w:after="100" w:afterAutospacing="1" w:line="240" w:lineRule="auto"/>
              <w:rPr>
                <w:rFonts w:ascii="Century Schoolbook" w:eastAsia="Times New Roman" w:hAnsi="Century Schoolbook" w:cs="Times New Roman"/>
                <w:sz w:val="24"/>
                <w:szCs w:val="24"/>
              </w:rPr>
            </w:pPr>
            <w:r w:rsidRPr="00543318">
              <w:rPr>
                <w:rFonts w:ascii="Century Schoolbook" w:eastAsia="Times New Roman" w:hAnsi="Century Schoolbook" w:cs="Times New Roman"/>
                <w:sz w:val="24"/>
                <w:szCs w:val="24"/>
              </w:rPr>
              <w:t>Costa, A.L. (Ed.</w:t>
            </w:r>
            <w:proofErr w:type="gramStart"/>
            <w:r w:rsidRPr="00543318">
              <w:rPr>
                <w:rFonts w:ascii="Century Schoolbook" w:eastAsia="Times New Roman" w:hAnsi="Century Schoolbook" w:cs="Times New Roman"/>
                <w:sz w:val="24"/>
                <w:szCs w:val="24"/>
              </w:rPr>
              <w:t>)(</w:t>
            </w:r>
            <w:proofErr w:type="gramEnd"/>
            <w:r w:rsidRPr="00543318">
              <w:rPr>
                <w:rFonts w:ascii="Century Schoolbook" w:eastAsia="Times New Roman" w:hAnsi="Century Schoolbook" w:cs="Times New Roman"/>
                <w:sz w:val="24"/>
                <w:szCs w:val="24"/>
              </w:rPr>
              <w:t xml:space="preserve">1985). "Developing minds: A resource book for teaching thinking." Alexandria, VA: Association for Supervision and Curriculum Development. </w:t>
            </w:r>
          </w:p>
          <w:p w:rsidR="00543318" w:rsidRPr="00543318" w:rsidRDefault="00543318" w:rsidP="00543318">
            <w:pPr>
              <w:spacing w:before="100" w:beforeAutospacing="1" w:after="100" w:afterAutospacing="1" w:line="240" w:lineRule="auto"/>
              <w:rPr>
                <w:rFonts w:ascii="Century Schoolbook" w:eastAsia="Times New Roman" w:hAnsi="Century Schoolbook" w:cs="Times New Roman"/>
                <w:sz w:val="24"/>
                <w:szCs w:val="24"/>
              </w:rPr>
            </w:pPr>
            <w:r w:rsidRPr="00543318">
              <w:rPr>
                <w:rFonts w:ascii="Century Schoolbook" w:eastAsia="Times New Roman" w:hAnsi="Century Schoolbook" w:cs="Times New Roman"/>
                <w:sz w:val="24"/>
                <w:szCs w:val="24"/>
              </w:rPr>
              <w:t xml:space="preserve">French, J.N., &amp; </w:t>
            </w:r>
            <w:proofErr w:type="spellStart"/>
            <w:r w:rsidRPr="00543318">
              <w:rPr>
                <w:rFonts w:ascii="Century Schoolbook" w:eastAsia="Times New Roman" w:hAnsi="Century Schoolbook" w:cs="Times New Roman"/>
                <w:sz w:val="24"/>
                <w:szCs w:val="24"/>
              </w:rPr>
              <w:t>Rhoder</w:t>
            </w:r>
            <w:proofErr w:type="spellEnd"/>
            <w:r w:rsidRPr="00543318">
              <w:rPr>
                <w:rFonts w:ascii="Century Schoolbook" w:eastAsia="Times New Roman" w:hAnsi="Century Schoolbook" w:cs="Times New Roman"/>
                <w:sz w:val="24"/>
                <w:szCs w:val="24"/>
              </w:rPr>
              <w:t xml:space="preserve">, C. (1992). "Teaching thinking skills: Theory and practice." New York: Garland Publishing, Inc. </w:t>
            </w:r>
          </w:p>
          <w:p w:rsidR="00543318" w:rsidRPr="00543318" w:rsidRDefault="00543318" w:rsidP="00543318">
            <w:pPr>
              <w:spacing w:before="100" w:beforeAutospacing="1" w:after="100" w:afterAutospacing="1" w:line="240" w:lineRule="auto"/>
              <w:rPr>
                <w:rFonts w:ascii="Century Schoolbook" w:eastAsia="Times New Roman" w:hAnsi="Century Schoolbook" w:cs="Times New Roman"/>
                <w:sz w:val="24"/>
                <w:szCs w:val="24"/>
              </w:rPr>
            </w:pPr>
            <w:r w:rsidRPr="00543318">
              <w:rPr>
                <w:rFonts w:ascii="Century Schoolbook" w:eastAsia="Times New Roman" w:hAnsi="Century Schoolbook" w:cs="Times New Roman"/>
                <w:sz w:val="24"/>
                <w:szCs w:val="24"/>
              </w:rPr>
              <w:t>Keefe, J.W., &amp; Walberg, H.J. (Eds.</w:t>
            </w:r>
            <w:proofErr w:type="gramStart"/>
            <w:r w:rsidRPr="00543318">
              <w:rPr>
                <w:rFonts w:ascii="Century Schoolbook" w:eastAsia="Times New Roman" w:hAnsi="Century Schoolbook" w:cs="Times New Roman"/>
                <w:sz w:val="24"/>
                <w:szCs w:val="24"/>
              </w:rPr>
              <w:t>)(</w:t>
            </w:r>
            <w:proofErr w:type="gramEnd"/>
            <w:r w:rsidRPr="00543318">
              <w:rPr>
                <w:rFonts w:ascii="Century Schoolbook" w:eastAsia="Times New Roman" w:hAnsi="Century Schoolbook" w:cs="Times New Roman"/>
                <w:sz w:val="24"/>
                <w:szCs w:val="24"/>
              </w:rPr>
              <w:t xml:space="preserve">1992). "Teaching for thinking." Reston, VA: National Association of Secondary School </w:t>
            </w:r>
            <w:proofErr w:type="spellStart"/>
            <w:r w:rsidRPr="00543318">
              <w:rPr>
                <w:rFonts w:ascii="Century Schoolbook" w:eastAsia="Times New Roman" w:hAnsi="Century Schoolbook" w:cs="Times New Roman"/>
                <w:sz w:val="24"/>
                <w:szCs w:val="24"/>
              </w:rPr>
              <w:t>Principles</w:t>
            </w:r>
            <w:proofErr w:type="spellEnd"/>
            <w:r w:rsidRPr="00543318">
              <w:rPr>
                <w:rFonts w:ascii="Century Schoolbook" w:eastAsia="Times New Roman" w:hAnsi="Century Schoolbook" w:cs="Times New Roman"/>
                <w:sz w:val="24"/>
                <w:szCs w:val="24"/>
              </w:rPr>
              <w:t xml:space="preserve">. </w:t>
            </w:r>
          </w:p>
          <w:p w:rsidR="00543318" w:rsidRPr="00543318" w:rsidRDefault="00543318" w:rsidP="00543318">
            <w:pPr>
              <w:spacing w:before="100" w:beforeAutospacing="1" w:after="100" w:afterAutospacing="1" w:line="240" w:lineRule="auto"/>
              <w:rPr>
                <w:rFonts w:ascii="Century Schoolbook" w:eastAsia="Times New Roman" w:hAnsi="Century Schoolbook" w:cs="Times New Roman"/>
                <w:sz w:val="24"/>
                <w:szCs w:val="24"/>
              </w:rPr>
            </w:pPr>
            <w:proofErr w:type="spellStart"/>
            <w:r w:rsidRPr="00543318">
              <w:rPr>
                <w:rFonts w:ascii="Century Schoolbook" w:eastAsia="Times New Roman" w:hAnsi="Century Schoolbook" w:cs="Times New Roman"/>
                <w:sz w:val="24"/>
                <w:szCs w:val="24"/>
              </w:rPr>
              <w:t>Pauker</w:t>
            </w:r>
            <w:proofErr w:type="spellEnd"/>
            <w:r w:rsidRPr="00543318">
              <w:rPr>
                <w:rFonts w:ascii="Century Schoolbook" w:eastAsia="Times New Roman" w:hAnsi="Century Schoolbook" w:cs="Times New Roman"/>
                <w:sz w:val="24"/>
                <w:szCs w:val="24"/>
              </w:rPr>
              <w:t xml:space="preserve">, R.A. (1987). "Teaching thinking and reasoning skills: Problems and solutions." Arlington, VA: American Association of School Administrators. </w:t>
            </w:r>
          </w:p>
          <w:p w:rsidR="00543318" w:rsidRPr="00543318" w:rsidRDefault="00543318" w:rsidP="00543318">
            <w:pPr>
              <w:spacing w:before="100" w:beforeAutospacing="1" w:after="100" w:afterAutospacing="1" w:line="240" w:lineRule="auto"/>
              <w:rPr>
                <w:rFonts w:ascii="Times New Roman" w:eastAsia="Times New Roman" w:hAnsi="Times New Roman" w:cs="Times New Roman"/>
                <w:sz w:val="24"/>
                <w:szCs w:val="24"/>
              </w:rPr>
            </w:pPr>
            <w:proofErr w:type="spellStart"/>
            <w:r w:rsidRPr="00543318">
              <w:rPr>
                <w:rFonts w:ascii="Century Schoolbook" w:eastAsia="Times New Roman" w:hAnsi="Century Schoolbook" w:cs="Times New Roman"/>
                <w:sz w:val="24"/>
                <w:szCs w:val="24"/>
              </w:rPr>
              <w:t>Seiger</w:t>
            </w:r>
            <w:proofErr w:type="spellEnd"/>
            <w:r w:rsidRPr="00543318">
              <w:rPr>
                <w:rFonts w:ascii="Century Schoolbook" w:eastAsia="Times New Roman" w:hAnsi="Century Schoolbook" w:cs="Times New Roman"/>
                <w:sz w:val="24"/>
                <w:szCs w:val="24"/>
              </w:rPr>
              <w:t xml:space="preserve">-Ehrenberg, S. (1985). Concept development. In A.L. Costa (Ed.), "Developing minds: A resource book for teaching thinking." Alexandria, VA: Association for Supervision and Curriculum Development. </w:t>
            </w:r>
          </w:p>
        </w:tc>
      </w:tr>
      <w:tr w:rsidR="00543318" w:rsidRPr="00543318" w:rsidTr="00543318">
        <w:trPr>
          <w:tblCellSpacing w:w="15" w:type="dxa"/>
          <w:jc w:val="center"/>
        </w:trPr>
        <w:tc>
          <w:tcPr>
            <w:tcW w:w="0" w:type="auto"/>
            <w:vAlign w:val="center"/>
            <w:hideMark/>
          </w:tcPr>
          <w:p w:rsidR="00543318" w:rsidRPr="00543318" w:rsidRDefault="00543318" w:rsidP="00543318">
            <w:pPr>
              <w:spacing w:after="0" w:line="240" w:lineRule="auto"/>
              <w:rPr>
                <w:rFonts w:ascii="Times New Roman" w:eastAsia="Times New Roman" w:hAnsi="Times New Roman" w:cs="Times New Roman"/>
                <w:sz w:val="24"/>
                <w:szCs w:val="24"/>
              </w:rPr>
            </w:pPr>
            <w:r w:rsidRPr="00543318">
              <w:rPr>
                <w:rFonts w:ascii="Times New Roman" w:eastAsia="Times New Roman" w:hAnsi="Times New Roman" w:cs="Times New Roman"/>
                <w:sz w:val="20"/>
                <w:szCs w:val="20"/>
              </w:rPr>
              <w:lastRenderedPageBreak/>
              <w:t>Descriptors: Classification; *Critical Thinking; *Educational Environment; Educational Objectives; Elementary Secondary Education; Higher Education; *Problem Solving; *Teaching Methods; *Thinking Skills</w:t>
            </w:r>
            <w:r w:rsidRPr="00543318">
              <w:rPr>
                <w:rFonts w:ascii="Times New Roman" w:eastAsia="Times New Roman" w:hAnsi="Times New Roman" w:cs="Times New Roman"/>
                <w:sz w:val="24"/>
                <w:szCs w:val="24"/>
              </w:rPr>
              <w:t xml:space="preserve"> </w:t>
            </w:r>
          </w:p>
        </w:tc>
      </w:tr>
    </w:tbl>
    <w:p w:rsidR="00CF4651" w:rsidRDefault="00CF4651"/>
    <w:sectPr w:rsidR="00CF4651" w:rsidSect="00CF465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A0827"/>
    <w:multiLevelType w:val="multilevel"/>
    <w:tmpl w:val="D0AE4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BF554FB"/>
    <w:multiLevelType w:val="multilevel"/>
    <w:tmpl w:val="BB962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543318"/>
    <w:rsid w:val="00543318"/>
    <w:rsid w:val="00CF46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4651"/>
  </w:style>
  <w:style w:type="paragraph" w:styleId="Heading2">
    <w:name w:val="heading 2"/>
    <w:basedOn w:val="Normal"/>
    <w:link w:val="Heading2Char"/>
    <w:uiPriority w:val="9"/>
    <w:qFormat/>
    <w:rsid w:val="0054331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43318"/>
    <w:rPr>
      <w:rFonts w:ascii="Times New Roman" w:eastAsia="Times New Roman" w:hAnsi="Times New Roman" w:cs="Times New Roman"/>
      <w:b/>
      <w:bCs/>
      <w:sz w:val="36"/>
      <w:szCs w:val="36"/>
    </w:rPr>
  </w:style>
  <w:style w:type="paragraph" w:styleId="z-TopofForm">
    <w:name w:val="HTML Top of Form"/>
    <w:basedOn w:val="Normal"/>
    <w:next w:val="Normal"/>
    <w:link w:val="z-TopofFormChar"/>
    <w:hidden/>
    <w:uiPriority w:val="99"/>
    <w:semiHidden/>
    <w:unhideWhenUsed/>
    <w:rsid w:val="00543318"/>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543318"/>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543318"/>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543318"/>
    <w:rPr>
      <w:rFonts w:ascii="Arial" w:eastAsia="Times New Roman" w:hAnsi="Arial" w:cs="Arial"/>
      <w:vanish/>
      <w:sz w:val="16"/>
      <w:szCs w:val="16"/>
    </w:rPr>
  </w:style>
  <w:style w:type="paragraph" w:styleId="NormalWeb">
    <w:name w:val="Normal (Web)"/>
    <w:basedOn w:val="Normal"/>
    <w:uiPriority w:val="99"/>
    <w:unhideWhenUsed/>
    <w:rsid w:val="00543318"/>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433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331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38427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control" Target="activeX/activeX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image" Target="media/image5.wmf"/><Relationship Id="rId5" Type="http://schemas.openxmlformats.org/officeDocument/2006/relationships/image" Target="media/image1.gif"/><Relationship Id="rId10" Type="http://schemas.openxmlformats.org/officeDocument/2006/relationships/control" Target="activeX/activeX2.xml"/><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0-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1430</Words>
  <Characters>8154</Characters>
  <Application>Microsoft Office Word</Application>
  <DocSecurity>0</DocSecurity>
  <Lines>67</Lines>
  <Paragraphs>19</Paragraphs>
  <ScaleCrop>false</ScaleCrop>
  <Company> </Company>
  <LinksUpToDate>false</LinksUpToDate>
  <CharactersWithSpaces>9565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cp:revision>
  <dcterms:created xsi:type="dcterms:W3CDTF">2009-08-19T15:46:00Z</dcterms:created>
  <dcterms:modified xsi:type="dcterms:W3CDTF">2009-08-19T15:46:00Z</dcterms:modified>
</cp:coreProperties>
</file>